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B3E2B" w:rsidRDefault="003B3E2B" w:rsidP="003B3E2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 xml:space="preserve">Сроки обращения работника в суд за разрешением индивидуального трудового спора </w:t>
      </w:r>
    </w:p>
    <w:bookmarkEnd w:id="0"/>
    <w:p w:rsidR="003B3E2B" w:rsidRPr="00381A61" w:rsidRDefault="003B3E2B" w:rsidP="003B3E2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Сроки обращения в суд за разрешением индивидуального трудового спора установлены ст. 392 Трудового кодекса Российской Федерации (далее –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ч. 1 ст. 392 ТК РФ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выдачи трудовой книжки.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(ч. 2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При пропуске по уважительным причинам указанных сроков они могут быть восстановлены судом (ч. 4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семьи), а также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ТК РФ срок,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7916F4" w:rsidRDefault="007916F4" w:rsidP="007916F4"/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2022-12-19T16:17:00Z</dcterms:created>
  <dcterms:modified xsi:type="dcterms:W3CDTF">2022-12-19T16:17:00Z</dcterms:modified>
</cp:coreProperties>
</file>